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1CE1" w14:textId="38C26D1C" w:rsidR="005460B2" w:rsidRPr="005460B2" w:rsidRDefault="005460B2" w:rsidP="005460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B2">
        <w:rPr>
          <w:rFonts w:ascii="Times New Roman" w:hAnsi="Times New Roman" w:cs="Times New Roman"/>
          <w:b/>
          <w:bCs/>
          <w:sz w:val="28"/>
          <w:szCs w:val="28"/>
        </w:rPr>
        <w:t>МАРКЕРЫ ВЫСОКОГО СУИЦИДАЛЬНОГО РИСКА</w:t>
      </w:r>
    </w:p>
    <w:p w14:paraId="38078008" w14:textId="77777777" w:rsidR="005460B2" w:rsidRPr="005460B2" w:rsidRDefault="005460B2" w:rsidP="005460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8AB09" w14:textId="73C3C272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0B2">
        <w:rPr>
          <w:rFonts w:ascii="Times New Roman" w:hAnsi="Times New Roman" w:cs="Times New Roman"/>
          <w:b/>
          <w:bCs/>
          <w:sz w:val="28"/>
          <w:szCs w:val="28"/>
        </w:rPr>
        <w:t>Ситуационные маркеры высокого суицидального риска:</w:t>
      </w:r>
    </w:p>
    <w:p w14:paraId="1EB674E1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жизненные трагедии (смерть друга, любимого человека; глубоко переживаемая несчастная любовь; травмирующий опыт пережитого насилия, особенно сексуального);</w:t>
      </w:r>
    </w:p>
    <w:p w14:paraId="58AE91D6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социально-</w:t>
      </w:r>
      <w:proofErr w:type="spellStart"/>
      <w:r w:rsidRPr="005460B2">
        <w:rPr>
          <w:rFonts w:ascii="Times New Roman" w:hAnsi="Times New Roman" w:cs="Times New Roman"/>
          <w:sz w:val="28"/>
          <w:szCs w:val="28"/>
        </w:rPr>
        <w:t>дезадаптирующие</w:t>
      </w:r>
      <w:proofErr w:type="spellEnd"/>
      <w:r w:rsidRPr="005460B2">
        <w:rPr>
          <w:rFonts w:ascii="Times New Roman" w:hAnsi="Times New Roman" w:cs="Times New Roman"/>
          <w:sz w:val="28"/>
          <w:szCs w:val="28"/>
        </w:rPr>
        <w:t xml:space="preserve"> ситуации (конфликты с родителями, сверстниками, учителями; развод родителей; резкая смена социальных условий - помещение в интернаты, учебно-воспитательные учреждения и т.д.);</w:t>
      </w:r>
    </w:p>
    <w:p w14:paraId="3C1D9E20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ситуации утраты статуса в референтной группе (ситуации «потери лица», позора, унижения);</w:t>
      </w:r>
    </w:p>
    <w:p w14:paraId="5748143B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ситуации сильнейшего разочарования (предательство близких людей, разочарование в идеях, в лидере, значимой группе и т.д.). </w:t>
      </w:r>
    </w:p>
    <w:p w14:paraId="033CF6C6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3CD84" w14:textId="7CA54811" w:rsidR="005460B2" w:rsidRPr="005460B2" w:rsidRDefault="005460B2" w:rsidP="005460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B2">
        <w:rPr>
          <w:rFonts w:ascii="Times New Roman" w:hAnsi="Times New Roman" w:cs="Times New Roman"/>
          <w:b/>
          <w:bCs/>
          <w:sz w:val="28"/>
          <w:szCs w:val="28"/>
        </w:rPr>
        <w:t>Поведенческие маркеры высокого суицидального риска:</w:t>
      </w:r>
    </w:p>
    <w:p w14:paraId="5C8014A6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проявления зависимого поведения (признаки химических и нехимических </w:t>
      </w:r>
      <w:proofErr w:type="spellStart"/>
      <w:r w:rsidRPr="005460B2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Pr="005460B2">
        <w:rPr>
          <w:rFonts w:ascii="Times New Roman" w:hAnsi="Times New Roman" w:cs="Times New Roman"/>
          <w:sz w:val="28"/>
          <w:szCs w:val="28"/>
        </w:rPr>
        <w:t>);</w:t>
      </w:r>
    </w:p>
    <w:p w14:paraId="38A51107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самоизоляция и резкое снижение повседневной активности; </w:t>
      </w:r>
    </w:p>
    <w:p w14:paraId="2F8B0286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резкое изменение привычек, например, несоблюдение правил личной гигиены, ухода за внешностью;</w:t>
      </w:r>
    </w:p>
    <w:p w14:paraId="02ECA560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предпочтение тем общения и потребление информации, связанных со смертью и самоубийствами;</w:t>
      </w:r>
    </w:p>
    <w:p w14:paraId="4B910D6B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частое прослушивание траурной или печальной музыки; окружение себя мрачной символикой; </w:t>
      </w:r>
    </w:p>
    <w:p w14:paraId="16BCAEE6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«приведение дел в порядок» («прощальные» действия: написание писем, раздаривание личных вещей).</w:t>
      </w:r>
    </w:p>
    <w:p w14:paraId="5F8E5CAF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68913" w14:textId="5AF8191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0B2">
        <w:rPr>
          <w:rFonts w:ascii="Times New Roman" w:hAnsi="Times New Roman" w:cs="Times New Roman"/>
          <w:b/>
          <w:bCs/>
          <w:sz w:val="28"/>
          <w:szCs w:val="28"/>
        </w:rPr>
        <w:t>Эмоциональные и коммуникативные маркеры высокого суицидального риска:</w:t>
      </w:r>
    </w:p>
    <w:p w14:paraId="0B45A680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депрессивное настроение: безразличие к своей судьбе, подавленность, безнадежность, беспомощность, отчаяние;</w:t>
      </w:r>
    </w:p>
    <w:p w14:paraId="0A113513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переживание одиночества;</w:t>
      </w:r>
    </w:p>
    <w:p w14:paraId="512DD2B3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прямые или косвенные сообщения о суицидальных намерениях («Хочу умереть» – прямое сообщение, «Скоро всё это закончится» – косвенное);</w:t>
      </w:r>
    </w:p>
    <w:p w14:paraId="65F8EABA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шутки, иронические высказывания о желании умереть, бессмысленности жизни.</w:t>
      </w:r>
    </w:p>
    <w:p w14:paraId="1951C946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344E3" w14:textId="1A6E827E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0B2">
        <w:rPr>
          <w:rFonts w:ascii="Times New Roman" w:hAnsi="Times New Roman" w:cs="Times New Roman"/>
          <w:b/>
          <w:bCs/>
          <w:sz w:val="28"/>
          <w:szCs w:val="28"/>
        </w:rPr>
        <w:t>Когнитивные маркеры высокого суицидального риска:</w:t>
      </w:r>
    </w:p>
    <w:p w14:paraId="1F96BD17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«темная триада»: негативное видение себя, негативное видение окружающих, негативное видение будущего; собственная личность предстает </w:t>
      </w:r>
      <w:r w:rsidRPr="005460B2">
        <w:rPr>
          <w:rFonts w:ascii="Times New Roman" w:hAnsi="Times New Roman" w:cs="Times New Roman"/>
          <w:sz w:val="28"/>
          <w:szCs w:val="28"/>
        </w:rPr>
        <w:lastRenderedPageBreak/>
        <w:t>как ничтожная, не имеющая права жить; мир расценивается как место потерь и разочарований; будущее мыслится как бесперспективное, безнадежное;</w:t>
      </w:r>
    </w:p>
    <w:p w14:paraId="74E0E24F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разрешающие установки по отношению к суицидальному поведению;</w:t>
      </w:r>
    </w:p>
    <w:p w14:paraId="7256F16C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«туннельное видение» – неспособность увидеть иные приемлемые пути решения проблемы, кроме суицида;</w:t>
      </w:r>
    </w:p>
    <w:p w14:paraId="0C78BED6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Segoe UI Emoji" w:hAnsi="Segoe UI Emoji" w:cs="Segoe UI Emoji"/>
          <w:sz w:val="28"/>
          <w:szCs w:val="28"/>
        </w:rPr>
        <w:t>🔸</w:t>
      </w:r>
      <w:r w:rsidRPr="005460B2">
        <w:rPr>
          <w:rFonts w:ascii="Times New Roman" w:hAnsi="Times New Roman" w:cs="Times New Roman"/>
          <w:sz w:val="28"/>
          <w:szCs w:val="28"/>
        </w:rPr>
        <w:t xml:space="preserve"> наличие суицидальных мыслей, намерений, планов.</w:t>
      </w:r>
    </w:p>
    <w:p w14:paraId="0F3DE24D" w14:textId="77777777" w:rsidR="005460B2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EDB75" w14:textId="1C90DE89" w:rsidR="005D211D" w:rsidRPr="005460B2" w:rsidRDefault="005460B2" w:rsidP="0054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B2">
        <w:rPr>
          <w:rFonts w:ascii="Times New Roman" w:hAnsi="Times New Roman" w:cs="Times New Roman"/>
          <w:sz w:val="28"/>
          <w:szCs w:val="28"/>
        </w:rPr>
        <w:t xml:space="preserve"> Степень суицидального риска прямо связана с тем, имеются ли у человека только неопределенные редкие мысли о самоубийстве («хорошо бы заснуть и не проснуться») или они постоянны, оформилось намерение совершить самоубийство («я сделаю это, другого выхода нет») и появился конкретный план, который включает в себя решение о методе самоубийства, средствах, времени и месте. Чем более обстоятельно разработан суицидальный план, тем выше вероятность его реализации.</w:t>
      </w:r>
    </w:p>
    <w:sectPr w:rsidR="005D211D" w:rsidRPr="0054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95"/>
    <w:rsid w:val="00350E95"/>
    <w:rsid w:val="003A625D"/>
    <w:rsid w:val="005460B2"/>
    <w:rsid w:val="005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8E15"/>
  <w15:chartTrackingRefBased/>
  <w15:docId w15:val="{5BCA7272-28CA-4940-B625-8BDA8451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2025-06-11T08:15:00Z</dcterms:created>
  <dcterms:modified xsi:type="dcterms:W3CDTF">2025-06-11T08:17:00Z</dcterms:modified>
</cp:coreProperties>
</file>